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8156E" w14:textId="77777777" w:rsidR="00181F8A" w:rsidRPr="00641EFC" w:rsidRDefault="00181F8A" w:rsidP="00641EFC">
      <w:pPr>
        <w:pStyle w:val="ListParagraph"/>
        <w:numPr>
          <w:ilvl w:val="0"/>
          <w:numId w:val="1"/>
        </w:numPr>
        <w:tabs>
          <w:tab w:val="clear" w:pos="720"/>
          <w:tab w:val="left" w:pos="426"/>
        </w:tabs>
        <w:kinsoku w:val="0"/>
        <w:overflowPunct w:val="0"/>
        <w:spacing w:before="240"/>
        <w:ind w:left="426" w:right="-1" w:hanging="426"/>
        <w:rPr>
          <w:sz w:val="22"/>
          <w:szCs w:val="22"/>
        </w:rPr>
      </w:pPr>
      <w:r w:rsidRPr="00641EFC">
        <w:rPr>
          <w:sz w:val="22"/>
          <w:szCs w:val="22"/>
        </w:rPr>
        <w:t>The mechanical services licensing framework regulates work on heating and cooling systems in complex buildings and work on medical gas systems. These systems contribute to the overall health and safety of the community and can have fatal consequences if incorrectly installed or maintained. For example, legionella bacteria can grow and spread through air conditioning units for large buildings, such as those in medical facilities and shopping centres.</w:t>
      </w:r>
    </w:p>
    <w:p w14:paraId="247AE87E" w14:textId="77777777" w:rsidR="00181F8A" w:rsidRPr="00641EFC" w:rsidRDefault="00181F8A" w:rsidP="00641EFC">
      <w:pPr>
        <w:pStyle w:val="ListParagraph"/>
        <w:numPr>
          <w:ilvl w:val="0"/>
          <w:numId w:val="1"/>
        </w:numPr>
        <w:tabs>
          <w:tab w:val="clear" w:pos="720"/>
          <w:tab w:val="left" w:pos="426"/>
        </w:tabs>
        <w:kinsoku w:val="0"/>
        <w:overflowPunct w:val="0"/>
        <w:spacing w:before="240"/>
        <w:ind w:left="426" w:right="-1" w:hanging="426"/>
        <w:rPr>
          <w:sz w:val="22"/>
          <w:szCs w:val="22"/>
        </w:rPr>
      </w:pPr>
      <w:r w:rsidRPr="00641EFC">
        <w:rPr>
          <w:sz w:val="22"/>
          <w:szCs w:val="22"/>
        </w:rPr>
        <w:t xml:space="preserve">On 11 September 2018, the </w:t>
      </w:r>
      <w:r w:rsidRPr="00641EFC">
        <w:rPr>
          <w:i/>
          <w:iCs/>
          <w:sz w:val="22"/>
          <w:szCs w:val="22"/>
        </w:rPr>
        <w:t xml:space="preserve">Plumbing and Drainage Act 2018 </w:t>
      </w:r>
      <w:r w:rsidRPr="00641EFC">
        <w:rPr>
          <w:sz w:val="22"/>
          <w:szCs w:val="22"/>
        </w:rPr>
        <w:t xml:space="preserve">commenced and among other things amended the </w:t>
      </w:r>
      <w:r w:rsidRPr="00641EFC">
        <w:rPr>
          <w:i/>
          <w:iCs/>
          <w:sz w:val="22"/>
          <w:szCs w:val="22"/>
        </w:rPr>
        <w:t xml:space="preserve">Queensland Building and Construction Commission Act 1991 </w:t>
      </w:r>
      <w:r w:rsidRPr="00641EFC">
        <w:rPr>
          <w:sz w:val="22"/>
          <w:szCs w:val="22"/>
        </w:rPr>
        <w:t>(QBCC Act) to create a new mechanical services licence, including work on medical gas systems.</w:t>
      </w:r>
    </w:p>
    <w:p w14:paraId="1A35E0D9" w14:textId="0359D554" w:rsidR="00181F8A" w:rsidRPr="00641EFC" w:rsidRDefault="00181F8A" w:rsidP="00641EFC">
      <w:pPr>
        <w:pStyle w:val="ListParagraph"/>
        <w:numPr>
          <w:ilvl w:val="0"/>
          <w:numId w:val="1"/>
        </w:numPr>
        <w:tabs>
          <w:tab w:val="clear" w:pos="720"/>
          <w:tab w:val="left" w:pos="426"/>
        </w:tabs>
        <w:kinsoku w:val="0"/>
        <w:overflowPunct w:val="0"/>
        <w:spacing w:before="240"/>
        <w:ind w:left="426" w:right="-1" w:hanging="426"/>
        <w:rPr>
          <w:sz w:val="22"/>
          <w:szCs w:val="22"/>
        </w:rPr>
      </w:pPr>
      <w:r w:rsidRPr="00641EFC">
        <w:rPr>
          <w:sz w:val="22"/>
          <w:szCs w:val="22"/>
        </w:rPr>
        <w:t xml:space="preserve">While the QBCC Act establishes the mechanical services licence, the </w:t>
      </w:r>
      <w:r w:rsidRPr="00641EFC">
        <w:rPr>
          <w:i/>
          <w:iCs/>
          <w:sz w:val="22"/>
          <w:szCs w:val="22"/>
        </w:rPr>
        <w:t xml:space="preserve">Queensland Building and Construction Commission Regulation 2018 </w:t>
      </w:r>
      <w:r w:rsidRPr="00641EFC">
        <w:rPr>
          <w:sz w:val="22"/>
          <w:szCs w:val="22"/>
        </w:rPr>
        <w:t>prescribe</w:t>
      </w:r>
      <w:r w:rsidR="00641EFC">
        <w:rPr>
          <w:sz w:val="22"/>
          <w:szCs w:val="22"/>
        </w:rPr>
        <w:t>s</w:t>
      </w:r>
      <w:r w:rsidRPr="00641EFC">
        <w:rPr>
          <w:sz w:val="22"/>
          <w:szCs w:val="22"/>
        </w:rPr>
        <w:t xml:space="preserve"> the technical details of the licensing framework.</w:t>
      </w:r>
    </w:p>
    <w:p w14:paraId="1FFFABB7" w14:textId="77777777" w:rsidR="00181F8A" w:rsidRPr="00641EFC" w:rsidRDefault="00181F8A" w:rsidP="00641EFC">
      <w:pPr>
        <w:pStyle w:val="ListParagraph"/>
        <w:numPr>
          <w:ilvl w:val="0"/>
          <w:numId w:val="1"/>
        </w:numPr>
        <w:tabs>
          <w:tab w:val="clear" w:pos="720"/>
          <w:tab w:val="left" w:pos="426"/>
        </w:tabs>
        <w:kinsoku w:val="0"/>
        <w:overflowPunct w:val="0"/>
        <w:spacing w:before="240"/>
        <w:ind w:left="426" w:right="-1" w:hanging="426"/>
        <w:rPr>
          <w:sz w:val="22"/>
          <w:szCs w:val="22"/>
        </w:rPr>
      </w:pPr>
      <w:r w:rsidRPr="00641EFC">
        <w:rPr>
          <w:sz w:val="22"/>
          <w:szCs w:val="22"/>
        </w:rPr>
        <w:t>From 6 June 2019 to 5 July 2019, feedback on the technical details of the licensing framework was sought via the release of a Consultation Regulatory Impact Statement (RIS). This document sought feedback on proposed licence classes, scopes of work, licensing eligibility requirements (experience, managerial and technical qualifications) and ways to transition industry to the new licence.</w:t>
      </w:r>
    </w:p>
    <w:p w14:paraId="2E6B5EE1" w14:textId="00DD4C50" w:rsidR="00181F8A" w:rsidRPr="00641EFC" w:rsidRDefault="00181F8A" w:rsidP="00641EFC">
      <w:pPr>
        <w:pStyle w:val="ListParagraph"/>
        <w:numPr>
          <w:ilvl w:val="0"/>
          <w:numId w:val="1"/>
        </w:numPr>
        <w:tabs>
          <w:tab w:val="clear" w:pos="720"/>
          <w:tab w:val="left" w:pos="426"/>
        </w:tabs>
        <w:kinsoku w:val="0"/>
        <w:overflowPunct w:val="0"/>
        <w:spacing w:before="240"/>
        <w:ind w:left="426" w:right="-1" w:hanging="426"/>
        <w:rPr>
          <w:sz w:val="22"/>
          <w:szCs w:val="22"/>
        </w:rPr>
      </w:pPr>
      <w:r w:rsidRPr="00641EFC">
        <w:rPr>
          <w:sz w:val="22"/>
          <w:szCs w:val="22"/>
          <w:u w:val="single"/>
        </w:rPr>
        <w:t>Cabinet approved</w:t>
      </w:r>
      <w:r w:rsidRPr="00641EFC">
        <w:rPr>
          <w:sz w:val="22"/>
          <w:szCs w:val="22"/>
        </w:rPr>
        <w:t xml:space="preserve"> the release of </w:t>
      </w:r>
      <w:r w:rsidR="00F418EB" w:rsidRPr="00641EFC">
        <w:rPr>
          <w:sz w:val="22"/>
          <w:szCs w:val="22"/>
        </w:rPr>
        <w:t xml:space="preserve">the Mechanical Services Regulation </w:t>
      </w:r>
      <w:r w:rsidRPr="00641EFC">
        <w:rPr>
          <w:sz w:val="22"/>
          <w:szCs w:val="22"/>
        </w:rPr>
        <w:t>Decision R</w:t>
      </w:r>
      <w:r w:rsidR="003A616E" w:rsidRPr="00641EFC">
        <w:rPr>
          <w:sz w:val="22"/>
          <w:szCs w:val="22"/>
        </w:rPr>
        <w:t xml:space="preserve">egulatory </w:t>
      </w:r>
      <w:r w:rsidRPr="00641EFC">
        <w:rPr>
          <w:sz w:val="22"/>
          <w:szCs w:val="22"/>
        </w:rPr>
        <w:t>I</w:t>
      </w:r>
      <w:r w:rsidR="003A616E" w:rsidRPr="00641EFC">
        <w:rPr>
          <w:sz w:val="22"/>
          <w:szCs w:val="22"/>
        </w:rPr>
        <w:t xml:space="preserve">mpact </w:t>
      </w:r>
      <w:r w:rsidRPr="00641EFC">
        <w:rPr>
          <w:sz w:val="22"/>
          <w:szCs w:val="22"/>
        </w:rPr>
        <w:t>S</w:t>
      </w:r>
      <w:r w:rsidR="003A616E" w:rsidRPr="00641EFC">
        <w:rPr>
          <w:sz w:val="22"/>
          <w:szCs w:val="22"/>
        </w:rPr>
        <w:t>tatement</w:t>
      </w:r>
      <w:r w:rsidRPr="00641EFC">
        <w:rPr>
          <w:sz w:val="22"/>
          <w:szCs w:val="22"/>
        </w:rPr>
        <w:t>.</w:t>
      </w:r>
    </w:p>
    <w:p w14:paraId="68239795" w14:textId="77F3404C" w:rsidR="00181F8A" w:rsidRPr="00641EFC" w:rsidRDefault="00181F8A" w:rsidP="00641EFC">
      <w:pPr>
        <w:pStyle w:val="ListParagraph"/>
        <w:numPr>
          <w:ilvl w:val="0"/>
          <w:numId w:val="1"/>
        </w:numPr>
        <w:tabs>
          <w:tab w:val="clear" w:pos="720"/>
          <w:tab w:val="left" w:pos="426"/>
        </w:tabs>
        <w:kinsoku w:val="0"/>
        <w:overflowPunct w:val="0"/>
        <w:spacing w:before="240"/>
        <w:ind w:left="426" w:right="-1" w:hanging="426"/>
        <w:rPr>
          <w:sz w:val="22"/>
          <w:szCs w:val="22"/>
        </w:rPr>
      </w:pPr>
      <w:r w:rsidRPr="00641EFC">
        <w:rPr>
          <w:sz w:val="22"/>
          <w:szCs w:val="22"/>
          <w:u w:val="single"/>
        </w:rPr>
        <w:t>Cabinet endorsed</w:t>
      </w:r>
      <w:r w:rsidRPr="00641EFC">
        <w:rPr>
          <w:sz w:val="22"/>
          <w:szCs w:val="22"/>
        </w:rPr>
        <w:t xml:space="preserve"> the </w:t>
      </w:r>
      <w:r w:rsidRPr="00641EFC">
        <w:rPr>
          <w:i/>
          <w:iCs/>
          <w:sz w:val="22"/>
          <w:szCs w:val="22"/>
        </w:rPr>
        <w:t>Queensland Building and Construction Commission (Mechanical Services Licences) and Other Legislation Amendment Regulation 2019</w:t>
      </w:r>
      <w:r w:rsidR="003A616E" w:rsidRPr="00641EFC">
        <w:rPr>
          <w:sz w:val="22"/>
          <w:szCs w:val="22"/>
        </w:rPr>
        <w:t xml:space="preserve"> be recommended to the Governor in Council</w:t>
      </w:r>
      <w:r w:rsidRPr="00641EFC">
        <w:rPr>
          <w:sz w:val="22"/>
          <w:szCs w:val="22"/>
        </w:rPr>
        <w:t>.</w:t>
      </w:r>
    </w:p>
    <w:p w14:paraId="387B11A9" w14:textId="49F68996" w:rsidR="00181F8A" w:rsidRPr="00641EFC" w:rsidRDefault="00181F8A" w:rsidP="00641EFC">
      <w:pPr>
        <w:pStyle w:val="ListParagraph"/>
        <w:numPr>
          <w:ilvl w:val="0"/>
          <w:numId w:val="1"/>
        </w:numPr>
        <w:tabs>
          <w:tab w:val="clear" w:pos="720"/>
          <w:tab w:val="left" w:pos="426"/>
        </w:tabs>
        <w:kinsoku w:val="0"/>
        <w:overflowPunct w:val="0"/>
        <w:spacing w:before="360"/>
        <w:ind w:left="426" w:right="-1" w:hanging="426"/>
        <w:jc w:val="left"/>
        <w:rPr>
          <w:i/>
          <w:iCs/>
          <w:sz w:val="22"/>
          <w:szCs w:val="22"/>
        </w:rPr>
      </w:pPr>
      <w:r w:rsidRPr="00641EFC">
        <w:rPr>
          <w:i/>
          <w:iCs/>
          <w:sz w:val="22"/>
          <w:szCs w:val="22"/>
          <w:u w:val="single"/>
        </w:rPr>
        <w:t>Attachments</w:t>
      </w:r>
    </w:p>
    <w:p w14:paraId="641AE17D" w14:textId="6F6C77E4" w:rsidR="003A616E" w:rsidRPr="00641EFC" w:rsidRDefault="007D70DE" w:rsidP="00641EFC">
      <w:pPr>
        <w:pStyle w:val="ListParagraph"/>
        <w:numPr>
          <w:ilvl w:val="0"/>
          <w:numId w:val="5"/>
        </w:numPr>
        <w:tabs>
          <w:tab w:val="left" w:pos="426"/>
        </w:tabs>
        <w:spacing w:before="120"/>
        <w:ind w:right="-1"/>
        <w:rPr>
          <w:sz w:val="22"/>
          <w:szCs w:val="22"/>
          <w:lang w:bidi="en-AU"/>
        </w:rPr>
      </w:pPr>
      <w:hyperlink r:id="rId10" w:history="1">
        <w:r w:rsidR="00181F8A" w:rsidRPr="00172867">
          <w:rPr>
            <w:rStyle w:val="Hyperlink"/>
            <w:rFonts w:cs="Arial"/>
            <w:sz w:val="22"/>
            <w:szCs w:val="22"/>
          </w:rPr>
          <w:t>Mechanical Services Regulation - Decision Regulatory Impact Statement</w:t>
        </w:r>
      </w:hyperlink>
      <w:r w:rsidR="003A616E" w:rsidRPr="00641EFC">
        <w:rPr>
          <w:rFonts w:eastAsia="Arial"/>
          <w:sz w:val="22"/>
          <w:szCs w:val="22"/>
          <w:lang w:bidi="en-AU"/>
        </w:rPr>
        <w:t xml:space="preserve"> </w:t>
      </w:r>
    </w:p>
    <w:p w14:paraId="42FFE22F" w14:textId="36183E11" w:rsidR="003A616E" w:rsidRPr="00641EFC" w:rsidRDefault="007D70DE" w:rsidP="00641EFC">
      <w:pPr>
        <w:pStyle w:val="ListParagraph"/>
        <w:numPr>
          <w:ilvl w:val="0"/>
          <w:numId w:val="5"/>
        </w:numPr>
        <w:tabs>
          <w:tab w:val="left" w:pos="426"/>
        </w:tabs>
        <w:spacing w:before="120"/>
        <w:ind w:right="-1"/>
        <w:rPr>
          <w:i/>
          <w:sz w:val="22"/>
          <w:szCs w:val="22"/>
          <w:lang w:bidi="en-AU"/>
        </w:rPr>
      </w:pPr>
      <w:hyperlink r:id="rId11" w:history="1">
        <w:r w:rsidR="003A616E" w:rsidRPr="00172867">
          <w:rPr>
            <w:rStyle w:val="Hyperlink"/>
            <w:rFonts w:cs="Arial"/>
            <w:i/>
            <w:sz w:val="22"/>
            <w:szCs w:val="22"/>
            <w:lang w:bidi="en-AU"/>
          </w:rPr>
          <w:t>Queensland Building and Construction Commission (Mechanical Services Licences) and Other Legislation Amendment Regulation 2019</w:t>
        </w:r>
      </w:hyperlink>
    </w:p>
    <w:p w14:paraId="07245302" w14:textId="1B5C47AA" w:rsidR="00D6589B" w:rsidRPr="00641EFC" w:rsidRDefault="007D70DE" w:rsidP="00641EFC">
      <w:pPr>
        <w:pStyle w:val="ListParagraph"/>
        <w:numPr>
          <w:ilvl w:val="0"/>
          <w:numId w:val="5"/>
        </w:numPr>
        <w:tabs>
          <w:tab w:val="left" w:pos="426"/>
        </w:tabs>
        <w:spacing w:before="120"/>
        <w:ind w:right="-1"/>
        <w:rPr>
          <w:bCs/>
          <w:sz w:val="22"/>
          <w:szCs w:val="22"/>
        </w:rPr>
      </w:pPr>
      <w:hyperlink r:id="rId12" w:history="1">
        <w:r w:rsidR="003A616E" w:rsidRPr="00172867">
          <w:rPr>
            <w:rStyle w:val="Hyperlink"/>
            <w:rFonts w:cs="Arial"/>
            <w:sz w:val="22"/>
            <w:szCs w:val="22"/>
            <w:lang w:bidi="en-AU"/>
          </w:rPr>
          <w:t>Explanatory Notes</w:t>
        </w:r>
      </w:hyperlink>
    </w:p>
    <w:sectPr w:rsidR="00D6589B" w:rsidRPr="00641EFC" w:rsidSect="00181F8A">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15133" w14:textId="77777777" w:rsidR="005B1B16" w:rsidRDefault="005B1B16" w:rsidP="00D6589B">
      <w:r>
        <w:separator/>
      </w:r>
    </w:p>
  </w:endnote>
  <w:endnote w:type="continuationSeparator" w:id="0">
    <w:p w14:paraId="5727FE2C" w14:textId="77777777" w:rsidR="005B1B16" w:rsidRDefault="005B1B1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BE426" w14:textId="77777777" w:rsidR="005B1B16" w:rsidRDefault="005B1B16" w:rsidP="00D6589B">
      <w:r>
        <w:separator/>
      </w:r>
    </w:p>
  </w:footnote>
  <w:footnote w:type="continuationSeparator" w:id="0">
    <w:p w14:paraId="17825939" w14:textId="77777777" w:rsidR="005B1B16" w:rsidRDefault="005B1B16"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31C5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1A2444C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C6E443A" w14:textId="1F39AB8A"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81F8A">
      <w:rPr>
        <w:rFonts w:ascii="Arial" w:hAnsi="Arial" w:cs="Arial"/>
        <w:b/>
        <w:color w:val="auto"/>
        <w:sz w:val="22"/>
        <w:szCs w:val="22"/>
        <w:lang w:eastAsia="en-US"/>
      </w:rPr>
      <w:t>October 2019</w:t>
    </w:r>
  </w:p>
  <w:p w14:paraId="2D3C540A" w14:textId="48CD5BAB" w:rsidR="00CB1501" w:rsidRPr="00641EFC" w:rsidRDefault="00181F8A" w:rsidP="00D6589B">
    <w:pPr>
      <w:pStyle w:val="Header"/>
      <w:spacing w:before="120"/>
      <w:rPr>
        <w:rFonts w:ascii="Arial" w:hAnsi="Arial" w:cs="Arial"/>
        <w:b/>
        <w:i/>
        <w:sz w:val="22"/>
        <w:szCs w:val="22"/>
        <w:u w:val="single"/>
      </w:rPr>
    </w:pPr>
    <w:r w:rsidRPr="00641EFC">
      <w:rPr>
        <w:rFonts w:ascii="Arial" w:hAnsi="Arial" w:cs="Arial"/>
        <w:b/>
        <w:i/>
        <w:sz w:val="22"/>
        <w:szCs w:val="22"/>
        <w:u w:val="single"/>
      </w:rPr>
      <w:t>Queensland Building and Construction Commission (Mechanical Services Licences) and Other Legislation Amendment Regulation 2019</w:t>
    </w:r>
  </w:p>
  <w:p w14:paraId="7E70DDEB" w14:textId="712FF004"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181F8A">
      <w:rPr>
        <w:rFonts w:ascii="Arial" w:hAnsi="Arial" w:cs="Arial"/>
        <w:b/>
        <w:sz w:val="22"/>
        <w:szCs w:val="22"/>
        <w:u w:val="single"/>
      </w:rPr>
      <w:t xml:space="preserve"> for Housing and Public Works, Minister for Digital Technology and Minister for Sport</w:t>
    </w:r>
  </w:p>
  <w:p w14:paraId="4AFE7BDA"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704" w:hanging="360"/>
      </w:pPr>
      <w:rPr>
        <w:rFonts w:ascii="Arial" w:hAnsi="Arial" w:cs="Arial"/>
        <w:b w:val="0"/>
        <w:bCs w:val="0"/>
        <w:spacing w:val="-3"/>
        <w:w w:val="100"/>
        <w:sz w:val="22"/>
        <w:szCs w:val="22"/>
      </w:rPr>
    </w:lvl>
    <w:lvl w:ilvl="1">
      <w:numFmt w:val="bullet"/>
      <w:lvlText w:val=""/>
      <w:lvlJc w:val="left"/>
      <w:pPr>
        <w:ind w:left="1156" w:hanging="454"/>
      </w:pPr>
      <w:rPr>
        <w:rFonts w:ascii="Symbol" w:hAnsi="Symbol"/>
        <w:b w:val="0"/>
        <w:w w:val="100"/>
        <w:sz w:val="23"/>
      </w:rPr>
    </w:lvl>
    <w:lvl w:ilvl="2">
      <w:numFmt w:val="bullet"/>
      <w:lvlText w:val="•"/>
      <w:lvlJc w:val="left"/>
      <w:pPr>
        <w:ind w:left="2114" w:hanging="454"/>
      </w:pPr>
    </w:lvl>
    <w:lvl w:ilvl="3">
      <w:numFmt w:val="bullet"/>
      <w:lvlText w:val="•"/>
      <w:lvlJc w:val="left"/>
      <w:pPr>
        <w:ind w:left="3068" w:hanging="454"/>
      </w:pPr>
    </w:lvl>
    <w:lvl w:ilvl="4">
      <w:numFmt w:val="bullet"/>
      <w:lvlText w:val="•"/>
      <w:lvlJc w:val="left"/>
      <w:pPr>
        <w:ind w:left="4022" w:hanging="454"/>
      </w:pPr>
    </w:lvl>
    <w:lvl w:ilvl="5">
      <w:numFmt w:val="bullet"/>
      <w:lvlText w:val="•"/>
      <w:lvlJc w:val="left"/>
      <w:pPr>
        <w:ind w:left="4976" w:hanging="454"/>
      </w:pPr>
    </w:lvl>
    <w:lvl w:ilvl="6">
      <w:numFmt w:val="bullet"/>
      <w:lvlText w:val="•"/>
      <w:lvlJc w:val="left"/>
      <w:pPr>
        <w:ind w:left="5930" w:hanging="454"/>
      </w:pPr>
    </w:lvl>
    <w:lvl w:ilvl="7">
      <w:numFmt w:val="bullet"/>
      <w:lvlText w:val="•"/>
      <w:lvlJc w:val="left"/>
      <w:pPr>
        <w:ind w:left="6884" w:hanging="454"/>
      </w:pPr>
    </w:lvl>
    <w:lvl w:ilvl="8">
      <w:numFmt w:val="bullet"/>
      <w:lvlText w:val="•"/>
      <w:lvlJc w:val="left"/>
      <w:pPr>
        <w:ind w:left="7838" w:hanging="454"/>
      </w:pPr>
    </w:lvl>
  </w:abstractNum>
  <w:abstractNum w:abstractNumId="1" w15:restartNumberingAfterBreak="0">
    <w:nsid w:val="03BC7A42"/>
    <w:multiLevelType w:val="hybridMultilevel"/>
    <w:tmpl w:val="0DFCCB7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7BC6487"/>
    <w:multiLevelType w:val="hybridMultilevel"/>
    <w:tmpl w:val="C63A496A"/>
    <w:lvl w:ilvl="0" w:tplc="0C090001">
      <w:start w:val="1"/>
      <w:numFmt w:val="bullet"/>
      <w:lvlText w:val=""/>
      <w:lvlJc w:val="left"/>
      <w:pPr>
        <w:ind w:left="1932" w:hanging="360"/>
      </w:pPr>
      <w:rPr>
        <w:rFonts w:ascii="Symbol" w:hAnsi="Symbol" w:hint="default"/>
      </w:rPr>
    </w:lvl>
    <w:lvl w:ilvl="1" w:tplc="0C090003" w:tentative="1">
      <w:start w:val="1"/>
      <w:numFmt w:val="bullet"/>
      <w:lvlText w:val="o"/>
      <w:lvlJc w:val="left"/>
      <w:pPr>
        <w:ind w:left="2652" w:hanging="360"/>
      </w:pPr>
      <w:rPr>
        <w:rFonts w:ascii="Courier New" w:hAnsi="Courier New" w:cs="Courier New" w:hint="default"/>
      </w:rPr>
    </w:lvl>
    <w:lvl w:ilvl="2" w:tplc="0C090005" w:tentative="1">
      <w:start w:val="1"/>
      <w:numFmt w:val="bullet"/>
      <w:lvlText w:val=""/>
      <w:lvlJc w:val="left"/>
      <w:pPr>
        <w:ind w:left="3372" w:hanging="360"/>
      </w:pPr>
      <w:rPr>
        <w:rFonts w:ascii="Wingdings" w:hAnsi="Wingdings" w:hint="default"/>
      </w:rPr>
    </w:lvl>
    <w:lvl w:ilvl="3" w:tplc="0C090001" w:tentative="1">
      <w:start w:val="1"/>
      <w:numFmt w:val="bullet"/>
      <w:lvlText w:val=""/>
      <w:lvlJc w:val="left"/>
      <w:pPr>
        <w:ind w:left="4092" w:hanging="360"/>
      </w:pPr>
      <w:rPr>
        <w:rFonts w:ascii="Symbol" w:hAnsi="Symbol" w:hint="default"/>
      </w:rPr>
    </w:lvl>
    <w:lvl w:ilvl="4" w:tplc="0C090003" w:tentative="1">
      <w:start w:val="1"/>
      <w:numFmt w:val="bullet"/>
      <w:lvlText w:val="o"/>
      <w:lvlJc w:val="left"/>
      <w:pPr>
        <w:ind w:left="4812" w:hanging="360"/>
      </w:pPr>
      <w:rPr>
        <w:rFonts w:ascii="Courier New" w:hAnsi="Courier New" w:cs="Courier New" w:hint="default"/>
      </w:rPr>
    </w:lvl>
    <w:lvl w:ilvl="5" w:tplc="0C090005" w:tentative="1">
      <w:start w:val="1"/>
      <w:numFmt w:val="bullet"/>
      <w:lvlText w:val=""/>
      <w:lvlJc w:val="left"/>
      <w:pPr>
        <w:ind w:left="5532" w:hanging="360"/>
      </w:pPr>
      <w:rPr>
        <w:rFonts w:ascii="Wingdings" w:hAnsi="Wingdings" w:hint="default"/>
      </w:rPr>
    </w:lvl>
    <w:lvl w:ilvl="6" w:tplc="0C090001" w:tentative="1">
      <w:start w:val="1"/>
      <w:numFmt w:val="bullet"/>
      <w:lvlText w:val=""/>
      <w:lvlJc w:val="left"/>
      <w:pPr>
        <w:ind w:left="6252" w:hanging="360"/>
      </w:pPr>
      <w:rPr>
        <w:rFonts w:ascii="Symbol" w:hAnsi="Symbol" w:hint="default"/>
      </w:rPr>
    </w:lvl>
    <w:lvl w:ilvl="7" w:tplc="0C090003" w:tentative="1">
      <w:start w:val="1"/>
      <w:numFmt w:val="bullet"/>
      <w:lvlText w:val="o"/>
      <w:lvlJc w:val="left"/>
      <w:pPr>
        <w:ind w:left="6972" w:hanging="360"/>
      </w:pPr>
      <w:rPr>
        <w:rFonts w:ascii="Courier New" w:hAnsi="Courier New" w:cs="Courier New" w:hint="default"/>
      </w:rPr>
    </w:lvl>
    <w:lvl w:ilvl="8" w:tplc="0C090005" w:tentative="1">
      <w:start w:val="1"/>
      <w:numFmt w:val="bullet"/>
      <w:lvlText w:val=""/>
      <w:lvlJc w:val="left"/>
      <w:pPr>
        <w:ind w:left="7692" w:hanging="360"/>
      </w:pPr>
      <w:rPr>
        <w:rFonts w:ascii="Wingdings" w:hAnsi="Wingdings" w:hint="default"/>
      </w:rPr>
    </w:lvl>
  </w:abstractNum>
  <w:abstractNum w:abstractNumId="3" w15:restartNumberingAfterBreak="0">
    <w:nsid w:val="6DF07215"/>
    <w:multiLevelType w:val="hybridMultilevel"/>
    <w:tmpl w:val="A19C69CE"/>
    <w:lvl w:ilvl="0" w:tplc="83DAB4E0">
      <w:start w:val="1"/>
      <w:numFmt w:val="decimal"/>
      <w:lvlText w:val="%1."/>
      <w:lvlJc w:val="left"/>
      <w:pPr>
        <w:ind w:left="684" w:hanging="360"/>
        <w:jc w:val="left"/>
      </w:pPr>
      <w:rPr>
        <w:rFonts w:ascii="Arial" w:eastAsia="Arial" w:hAnsi="Arial" w:cs="Arial" w:hint="default"/>
        <w:spacing w:val="-3"/>
        <w:w w:val="100"/>
        <w:sz w:val="22"/>
        <w:szCs w:val="22"/>
        <w:lang w:val="en-AU" w:eastAsia="en-AU" w:bidi="en-AU"/>
      </w:rPr>
    </w:lvl>
    <w:lvl w:ilvl="1" w:tplc="63BCB7B8">
      <w:numFmt w:val="bullet"/>
      <w:lvlText w:val=""/>
      <w:lvlJc w:val="left"/>
      <w:pPr>
        <w:ind w:left="1136" w:hanging="454"/>
      </w:pPr>
      <w:rPr>
        <w:rFonts w:ascii="Symbol" w:eastAsia="Symbol" w:hAnsi="Symbol" w:cs="Symbol" w:hint="default"/>
        <w:w w:val="100"/>
        <w:sz w:val="23"/>
        <w:szCs w:val="23"/>
        <w:lang w:val="en-AU" w:eastAsia="en-AU" w:bidi="en-AU"/>
      </w:rPr>
    </w:lvl>
    <w:lvl w:ilvl="2" w:tplc="B5004DA6">
      <w:numFmt w:val="bullet"/>
      <w:lvlText w:val="•"/>
      <w:lvlJc w:val="left"/>
      <w:pPr>
        <w:ind w:left="2082" w:hanging="454"/>
      </w:pPr>
      <w:rPr>
        <w:rFonts w:hint="default"/>
        <w:lang w:val="en-AU" w:eastAsia="en-AU" w:bidi="en-AU"/>
      </w:rPr>
    </w:lvl>
    <w:lvl w:ilvl="3" w:tplc="2F10015A">
      <w:numFmt w:val="bullet"/>
      <w:lvlText w:val="•"/>
      <w:lvlJc w:val="left"/>
      <w:pPr>
        <w:ind w:left="3025" w:hanging="454"/>
      </w:pPr>
      <w:rPr>
        <w:rFonts w:hint="default"/>
        <w:lang w:val="en-AU" w:eastAsia="en-AU" w:bidi="en-AU"/>
      </w:rPr>
    </w:lvl>
    <w:lvl w:ilvl="4" w:tplc="2E829E82">
      <w:numFmt w:val="bullet"/>
      <w:lvlText w:val="•"/>
      <w:lvlJc w:val="left"/>
      <w:pPr>
        <w:ind w:left="3968" w:hanging="454"/>
      </w:pPr>
      <w:rPr>
        <w:rFonts w:hint="default"/>
        <w:lang w:val="en-AU" w:eastAsia="en-AU" w:bidi="en-AU"/>
      </w:rPr>
    </w:lvl>
    <w:lvl w:ilvl="5" w:tplc="92C07346">
      <w:numFmt w:val="bullet"/>
      <w:lvlText w:val="•"/>
      <w:lvlJc w:val="left"/>
      <w:pPr>
        <w:ind w:left="4911" w:hanging="454"/>
      </w:pPr>
      <w:rPr>
        <w:rFonts w:hint="default"/>
        <w:lang w:val="en-AU" w:eastAsia="en-AU" w:bidi="en-AU"/>
      </w:rPr>
    </w:lvl>
    <w:lvl w:ilvl="6" w:tplc="CC347228">
      <w:numFmt w:val="bullet"/>
      <w:lvlText w:val="•"/>
      <w:lvlJc w:val="left"/>
      <w:pPr>
        <w:ind w:left="5854" w:hanging="454"/>
      </w:pPr>
      <w:rPr>
        <w:rFonts w:hint="default"/>
        <w:lang w:val="en-AU" w:eastAsia="en-AU" w:bidi="en-AU"/>
      </w:rPr>
    </w:lvl>
    <w:lvl w:ilvl="7" w:tplc="E30E2F92">
      <w:numFmt w:val="bullet"/>
      <w:lvlText w:val="•"/>
      <w:lvlJc w:val="left"/>
      <w:pPr>
        <w:ind w:left="6797" w:hanging="454"/>
      </w:pPr>
      <w:rPr>
        <w:rFonts w:hint="default"/>
        <w:lang w:val="en-AU" w:eastAsia="en-AU" w:bidi="en-AU"/>
      </w:rPr>
    </w:lvl>
    <w:lvl w:ilvl="8" w:tplc="4E989D8A">
      <w:numFmt w:val="bullet"/>
      <w:lvlText w:val="•"/>
      <w:lvlJc w:val="left"/>
      <w:pPr>
        <w:ind w:left="7740" w:hanging="454"/>
      </w:pPr>
      <w:rPr>
        <w:rFonts w:hint="default"/>
        <w:lang w:val="en-AU" w:eastAsia="en-AU" w:bidi="en-AU"/>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FB0CAB2E"/>
    <w:lvl w:ilvl="0" w:tplc="A90492E6">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8A"/>
    <w:rsid w:val="00080F8F"/>
    <w:rsid w:val="0010384C"/>
    <w:rsid w:val="00152095"/>
    <w:rsid w:val="00172867"/>
    <w:rsid w:val="00174117"/>
    <w:rsid w:val="00181F8A"/>
    <w:rsid w:val="003A3BDD"/>
    <w:rsid w:val="003A616E"/>
    <w:rsid w:val="0043543B"/>
    <w:rsid w:val="00501C66"/>
    <w:rsid w:val="00550873"/>
    <w:rsid w:val="005B1B16"/>
    <w:rsid w:val="00641EFC"/>
    <w:rsid w:val="007265D0"/>
    <w:rsid w:val="00732E22"/>
    <w:rsid w:val="00741C20"/>
    <w:rsid w:val="007D70DE"/>
    <w:rsid w:val="007F44F4"/>
    <w:rsid w:val="00904077"/>
    <w:rsid w:val="00937A4A"/>
    <w:rsid w:val="00B95A06"/>
    <w:rsid w:val="00C75E67"/>
    <w:rsid w:val="00CB1501"/>
    <w:rsid w:val="00CD7A50"/>
    <w:rsid w:val="00CF0D8A"/>
    <w:rsid w:val="00D6589B"/>
    <w:rsid w:val="00F24A8A"/>
    <w:rsid w:val="00F418EB"/>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6B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1"/>
    <w:qFormat/>
    <w:rsid w:val="00181F8A"/>
    <w:pPr>
      <w:widowControl w:val="0"/>
      <w:autoSpaceDE w:val="0"/>
      <w:autoSpaceDN w:val="0"/>
      <w:adjustRightInd w:val="0"/>
      <w:ind w:left="704" w:right="325" w:hanging="360"/>
      <w:jc w:val="both"/>
    </w:pPr>
    <w:rPr>
      <w:rFonts w:ascii="Arial" w:eastAsiaTheme="minorEastAsia" w:hAnsi="Arial" w:cs="Arial"/>
      <w:color w:val="auto"/>
      <w:szCs w:val="24"/>
    </w:rPr>
  </w:style>
  <w:style w:type="character" w:styleId="Hyperlink">
    <w:name w:val="Hyperlink"/>
    <w:basedOn w:val="DefaultParagraphFont"/>
    <w:uiPriority w:val="99"/>
    <w:unhideWhenUsed/>
    <w:rsid w:val="00181F8A"/>
    <w:rPr>
      <w:rFonts w:cs="Times New Roman"/>
      <w:color w:val="0000FF"/>
      <w:u w:val="single"/>
    </w:rPr>
  </w:style>
  <w:style w:type="character" w:styleId="FollowedHyperlink">
    <w:name w:val="FollowedHyperlink"/>
    <w:basedOn w:val="DefaultParagraphFont"/>
    <w:uiPriority w:val="99"/>
    <w:semiHidden/>
    <w:unhideWhenUsed/>
    <w:rsid w:val="00F418EB"/>
    <w:rPr>
      <w:color w:val="954F72" w:themeColor="followedHyperlink"/>
      <w:u w:val="single"/>
    </w:rPr>
  </w:style>
  <w:style w:type="character" w:styleId="UnresolvedMention">
    <w:name w:val="Unresolved Mention"/>
    <w:basedOn w:val="DefaultParagraphFont"/>
    <w:uiPriority w:val="99"/>
    <w:semiHidden/>
    <w:unhideWhenUsed/>
    <w:rsid w:val="00172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ExNot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RI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965FA6F-D9D6-47B1-895A-C86CD4636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DAFE8-8EBC-4A19-8F84-1DB5AA4F2A9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3e311de-a790-43ff-be63-577c26c7507c"/>
    <ds:schemaRef ds:uri="http://purl.org/dc/elements/1.1/"/>
    <ds:schemaRef ds:uri="b8ed82f2-f7bd-423c-8698-5e132afe924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22</TotalTime>
  <Pages>1</Pages>
  <Words>257</Words>
  <Characters>1581</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1832</CharactersWithSpaces>
  <SharedDoc>false</SharedDoc>
  <HyperlinkBase>https://www.cabinet.qld.gov.au/documents/2019/Oct/MSLReg/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4</cp:revision>
  <dcterms:created xsi:type="dcterms:W3CDTF">2020-07-07T07:24:00Z</dcterms:created>
  <dcterms:modified xsi:type="dcterms:W3CDTF">2020-07-27T00:46:00Z</dcterms:modified>
  <cp:category>Legislation,Building_and_Construction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